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85" w:rsidRPr="00070C8A" w:rsidRDefault="00FD05E5" w:rsidP="0020088B">
      <w:pPr>
        <w:pStyle w:val="Heading1"/>
        <w:spacing w:before="0"/>
        <w:jc w:val="both"/>
      </w:pPr>
      <w:r w:rsidRPr="00070C8A">
        <w:t xml:space="preserve"> </w:t>
      </w:r>
      <w:proofErr w:type="spellStart"/>
      <w:proofErr w:type="gramStart"/>
      <w:r w:rsidRPr="00070C8A">
        <w:t>cctbx</w:t>
      </w:r>
      <w:proofErr w:type="spellEnd"/>
      <w:proofErr w:type="gramEnd"/>
      <w:r w:rsidRPr="00070C8A">
        <w:t xml:space="preserve"> PDB handling tools</w:t>
      </w:r>
    </w:p>
    <w:p w:rsidR="0020088B" w:rsidRDefault="0020088B" w:rsidP="0020088B">
      <w:pPr>
        <w:pStyle w:val="PlainText"/>
        <w:ind w:firstLine="360"/>
        <w:jc w:val="both"/>
        <w:rPr>
          <w:rFonts w:asciiTheme="minorHAnsi" w:hAnsiTheme="minorHAnsi"/>
        </w:rPr>
      </w:pPr>
      <w:r w:rsidRPr="00070C8A">
        <w:rPr>
          <w:rFonts w:asciiTheme="minorHAnsi" w:hAnsiTheme="minorHAnsi"/>
        </w:rPr>
        <w:t>Ralf W. Grosse-</w:t>
      </w:r>
      <w:proofErr w:type="spellStart"/>
      <w:r w:rsidRPr="00070C8A">
        <w:rPr>
          <w:rFonts w:asciiTheme="minorHAnsi" w:hAnsiTheme="minorHAnsi"/>
        </w:rPr>
        <w:t>Kunstleve</w:t>
      </w:r>
      <w:r w:rsidRPr="00774543">
        <w:rPr>
          <w:rFonts w:asciiTheme="minorHAnsi" w:hAnsiTheme="minorHAnsi"/>
          <w:vertAlign w:val="superscript"/>
        </w:rPr>
        <w:t>a</w:t>
      </w:r>
      <w:proofErr w:type="spellEnd"/>
      <w:r>
        <w:rPr>
          <w:rFonts w:asciiTheme="minorHAnsi" w:hAnsiTheme="minorHAnsi"/>
        </w:rPr>
        <w:t xml:space="preserve"> and </w:t>
      </w:r>
      <w:r w:rsidRPr="00070C8A">
        <w:rPr>
          <w:rFonts w:asciiTheme="minorHAnsi" w:hAnsiTheme="minorHAnsi"/>
        </w:rPr>
        <w:t xml:space="preserve">Paul D. </w:t>
      </w:r>
      <w:proofErr w:type="spellStart"/>
      <w:r w:rsidRPr="00070C8A">
        <w:rPr>
          <w:rFonts w:asciiTheme="minorHAnsi" w:hAnsiTheme="minorHAnsi"/>
        </w:rPr>
        <w:t>Adams</w:t>
      </w:r>
      <w:r w:rsidRPr="00774543">
        <w:rPr>
          <w:rFonts w:asciiTheme="minorHAnsi" w:hAnsiTheme="minorHAnsi"/>
          <w:vertAlign w:val="superscript"/>
        </w:rPr>
        <w:t>a</w:t>
      </w:r>
      <w:proofErr w:type="gramStart"/>
      <w:r w:rsidRPr="00774543">
        <w:rPr>
          <w:rFonts w:asciiTheme="minorHAnsi" w:hAnsiTheme="minorHAnsi"/>
          <w:vertAlign w:val="superscript"/>
        </w:rPr>
        <w:t>,b</w:t>
      </w:r>
      <w:proofErr w:type="spellEnd"/>
      <w:proofErr w:type="gramEnd"/>
    </w:p>
    <w:p w:rsidR="0020088B" w:rsidRPr="00774543" w:rsidRDefault="0020088B" w:rsidP="0020088B">
      <w:pPr>
        <w:pStyle w:val="PlainText"/>
        <w:ind w:left="360" w:firstLine="360"/>
        <w:jc w:val="both"/>
        <w:rPr>
          <w:rFonts w:asciiTheme="minorHAnsi" w:hAnsiTheme="minorHAnsi"/>
          <w:i/>
          <w:sz w:val="18"/>
        </w:rPr>
      </w:pPr>
      <w:proofErr w:type="spellStart"/>
      <w:proofErr w:type="gramStart"/>
      <w:r w:rsidRPr="00774543">
        <w:rPr>
          <w:rFonts w:asciiTheme="minorHAnsi" w:hAnsiTheme="minorHAnsi"/>
          <w:i/>
          <w:sz w:val="18"/>
          <w:vertAlign w:val="superscript"/>
        </w:rPr>
        <w:t>a</w:t>
      </w:r>
      <w:r w:rsidRPr="00774543">
        <w:rPr>
          <w:rFonts w:asciiTheme="minorHAnsi" w:hAnsiTheme="minorHAnsi"/>
          <w:i/>
          <w:sz w:val="18"/>
        </w:rPr>
        <w:t>Lawrence</w:t>
      </w:r>
      <w:proofErr w:type="spellEnd"/>
      <w:proofErr w:type="gramEnd"/>
      <w:r w:rsidRPr="00774543">
        <w:rPr>
          <w:rFonts w:asciiTheme="minorHAnsi" w:hAnsiTheme="minorHAnsi"/>
          <w:i/>
          <w:sz w:val="18"/>
        </w:rPr>
        <w:t xml:space="preserve"> Berkeley National Laboratory, Berkeley, CA 94720</w:t>
      </w:r>
    </w:p>
    <w:p w:rsidR="0020088B" w:rsidRDefault="0020088B" w:rsidP="0020088B">
      <w:pPr>
        <w:pStyle w:val="PlainText"/>
        <w:ind w:left="360" w:firstLine="360"/>
        <w:jc w:val="both"/>
        <w:rPr>
          <w:rFonts w:asciiTheme="minorHAnsi" w:hAnsiTheme="minorHAnsi"/>
          <w:i/>
          <w:sz w:val="18"/>
        </w:rPr>
      </w:pPr>
      <w:proofErr w:type="spellStart"/>
      <w:proofErr w:type="gramStart"/>
      <w:r w:rsidRPr="00774543">
        <w:rPr>
          <w:rFonts w:asciiTheme="minorHAnsi" w:hAnsiTheme="minorHAnsi"/>
          <w:i/>
          <w:sz w:val="18"/>
          <w:vertAlign w:val="superscript"/>
        </w:rPr>
        <w:t>b</w:t>
      </w:r>
      <w:r w:rsidRPr="00774543">
        <w:rPr>
          <w:rFonts w:asciiTheme="minorHAnsi" w:hAnsiTheme="minorHAnsi"/>
          <w:i/>
          <w:sz w:val="18"/>
        </w:rPr>
        <w:t>Department</w:t>
      </w:r>
      <w:proofErr w:type="spellEnd"/>
      <w:proofErr w:type="gramEnd"/>
      <w:r w:rsidRPr="00774543">
        <w:rPr>
          <w:rFonts w:asciiTheme="minorHAnsi" w:hAnsiTheme="minorHAnsi"/>
          <w:i/>
          <w:sz w:val="18"/>
        </w:rPr>
        <w:t xml:space="preserve"> of Bioengineering, University of California at Berkeley, Berkeley, CA 94720</w:t>
      </w:r>
    </w:p>
    <w:p w:rsidR="0020088B" w:rsidRPr="007D01C1" w:rsidRDefault="0020088B" w:rsidP="0020088B">
      <w:pPr>
        <w:spacing w:before="120"/>
        <w:ind w:firstLine="720"/>
        <w:jc w:val="both"/>
        <w:rPr>
          <w:sz w:val="18"/>
        </w:rPr>
      </w:pPr>
      <w:r w:rsidRPr="007D01C1">
        <w:rPr>
          <w:sz w:val="18"/>
        </w:rPr>
        <w:t xml:space="preserve">Correspondence email: </w:t>
      </w:r>
      <w:hyperlink r:id="rId6" w:history="1">
        <w:r w:rsidRPr="007D01C1">
          <w:rPr>
            <w:rStyle w:val="Hyperlink"/>
            <w:sz w:val="18"/>
          </w:rPr>
          <w:t>RWG</w:t>
        </w:r>
        <w:bookmarkStart w:id="0" w:name="_GoBack"/>
        <w:bookmarkEnd w:id="0"/>
        <w:r w:rsidRPr="007D01C1">
          <w:rPr>
            <w:rStyle w:val="Hyperlink"/>
            <w:sz w:val="18"/>
          </w:rPr>
          <w:t>rosse-Kunstleve@LBL.Gov</w:t>
        </w:r>
      </w:hyperlink>
    </w:p>
    <w:p w:rsidR="0020088B" w:rsidRDefault="0020088B" w:rsidP="0020088B">
      <w:pPr>
        <w:pStyle w:val="Heading2"/>
        <w:jc w:val="both"/>
      </w:pPr>
      <w:r w:rsidRPr="00070C8A">
        <w:t>Introduction</w:t>
      </w:r>
    </w:p>
    <w:p w:rsidR="0020088B" w:rsidRPr="006F4647" w:rsidRDefault="0020088B" w:rsidP="0020088B">
      <w:pPr>
        <w:jc w:val="both"/>
        <w:rPr>
          <w:sz w:val="22"/>
        </w:rPr>
      </w:pPr>
      <w:r w:rsidRPr="006F4647">
        <w:rPr>
          <w:sz w:val="22"/>
        </w:rPr>
        <w:t xml:space="preserve">The PDB format is the predominant working format for atomic parameters (coordinates, occupancies, displacement parameters, etc.) in macromolecular crystallography. Many small-molecule programs also support this format. The PDB format specifications are available at </w:t>
      </w:r>
      <w:hyperlink r:id="rId7" w:history="1">
        <w:r w:rsidRPr="006F4647">
          <w:rPr>
            <w:rStyle w:val="Hyperlink"/>
            <w:sz w:val="22"/>
          </w:rPr>
          <w:t>http://www.pdb.org/</w:t>
        </w:r>
      </w:hyperlink>
      <w:r w:rsidRPr="006F4647">
        <w:rPr>
          <w:sz w:val="22"/>
        </w:rPr>
        <w:t>. Technically, the format is very simple, therefore a vast number of parsers exist in scientific packages. This article is about the PDB handling tools included in the Computational Crystallography Toolbox (</w:t>
      </w:r>
      <w:proofErr w:type="spellStart"/>
      <w:r w:rsidRPr="006F4647">
        <w:rPr>
          <w:rStyle w:val="PlainTextChar"/>
          <w:sz w:val="22"/>
        </w:rPr>
        <w:t>cctbx</w:t>
      </w:r>
      <w:proofErr w:type="spellEnd"/>
      <w:r w:rsidRPr="006F4647">
        <w:rPr>
          <w:sz w:val="22"/>
        </w:rPr>
        <w:t xml:space="preserve">, </w:t>
      </w:r>
      <w:hyperlink r:id="rId8" w:history="1">
        <w:r w:rsidRPr="006F4647">
          <w:rPr>
            <w:rStyle w:val="Hyperlink"/>
            <w:sz w:val="22"/>
          </w:rPr>
          <w:t>http://cctbx.sourceforge.net/</w:t>
        </w:r>
      </w:hyperlink>
      <w:r w:rsidRPr="006F4647">
        <w:rPr>
          <w:sz w:val="22"/>
        </w:rPr>
        <w:t xml:space="preserve">), the open-source component of the </w:t>
      </w:r>
      <w:r>
        <w:rPr>
          <w:i/>
          <w:sz w:val="22"/>
        </w:rPr>
        <w:t>PHENIX</w:t>
      </w:r>
      <w:r w:rsidRPr="006F4647">
        <w:rPr>
          <w:sz w:val="22"/>
        </w:rPr>
        <w:t xml:space="preserve"> project (</w:t>
      </w:r>
      <w:hyperlink r:id="rId9" w:history="1">
        <w:r w:rsidRPr="006F4647">
          <w:rPr>
            <w:rStyle w:val="Hyperlink"/>
            <w:sz w:val="22"/>
          </w:rPr>
          <w:t>http://www.phenix-online.org/</w:t>
        </w:r>
      </w:hyperlink>
      <w:r w:rsidRPr="006F4647">
        <w:rPr>
          <w:sz w:val="22"/>
        </w:rPr>
        <w:t>).</w:t>
      </w:r>
    </w:p>
    <w:tbl>
      <w:tblPr>
        <w:tblW w:w="5000" w:type="pct"/>
        <w:tblLook w:val="00BF" w:firstRow="1" w:lastRow="0" w:firstColumn="1" w:lastColumn="0" w:noHBand="0" w:noVBand="0"/>
      </w:tblPr>
      <w:tblGrid>
        <w:gridCol w:w="1544"/>
        <w:gridCol w:w="7209"/>
        <w:gridCol w:w="1545"/>
      </w:tblGrid>
      <w:tr w:rsidR="0020088B" w:rsidRPr="006C4416">
        <w:tc>
          <w:tcPr>
            <w:tcW w:w="750" w:type="pct"/>
            <w:vAlign w:val="center"/>
          </w:tcPr>
          <w:p w:rsidR="0020088B" w:rsidRPr="006C4416" w:rsidRDefault="0020088B" w:rsidP="0020088B">
            <w:p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</w:p>
        </w:tc>
        <w:tc>
          <w:tcPr>
            <w:tcW w:w="3500" w:type="pct"/>
            <w:vAlign w:val="center"/>
          </w:tcPr>
          <w:p w:rsidR="0020088B" w:rsidRPr="006C4416" w:rsidRDefault="0020088B" w:rsidP="0020088B">
            <w:p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  <w:r w:rsidRPr="000154A4">
              <w:rPr>
                <w:position w:val="-40"/>
                <w:sz w:val="22"/>
              </w:rPr>
              <w:object w:dxaOrig="3600" w:dyaOrig="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55pt" o:ole="">
                  <v:imagedata r:id="rId10" o:title=""/>
                </v:shape>
                <o:OLEObject Type="Embed" ProgID="Equation.3" ShapeID="_x0000_i1025" DrawAspect="Content" ObjectID="_1562240516" r:id="rId11"/>
              </w:object>
            </w:r>
          </w:p>
        </w:tc>
        <w:tc>
          <w:tcPr>
            <w:tcW w:w="750" w:type="pct"/>
            <w:vAlign w:val="center"/>
          </w:tcPr>
          <w:p w:rsidR="0020088B" w:rsidRPr="006C4416" w:rsidRDefault="0020088B" w:rsidP="0020088B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Theme="minorHAnsi" w:eastAsiaTheme="minorHAnsi" w:hAnsiTheme="minorHAnsi" w:cs="Arial"/>
                <w:sz w:val="22"/>
              </w:rPr>
            </w:pPr>
          </w:p>
        </w:tc>
      </w:tr>
    </w:tbl>
    <w:p w:rsidR="0020088B" w:rsidRDefault="0020088B" w:rsidP="0020088B">
      <w:pPr>
        <w:jc w:val="both"/>
        <w:rPr>
          <w:sz w:val="22"/>
        </w:rPr>
      </w:pPr>
    </w:p>
    <w:p w:rsidR="0020088B" w:rsidRPr="006F4647" w:rsidRDefault="0020088B" w:rsidP="0020088B">
      <w:pPr>
        <w:jc w:val="both"/>
        <w:rPr>
          <w:sz w:val="22"/>
        </w:rPr>
      </w:pPr>
      <w:r w:rsidRPr="006F4647">
        <w:rPr>
          <w:sz w:val="22"/>
        </w:rPr>
        <w:t xml:space="preserve">This article presents an overview of the main types in the </w:t>
      </w:r>
      <w:r w:rsidRPr="006F4647">
        <w:rPr>
          <w:rStyle w:val="PlainTextChar"/>
          <w:sz w:val="22"/>
        </w:rPr>
        <w:t>iotbx.pdb</w:t>
      </w:r>
      <w:r w:rsidRPr="006F4647">
        <w:rPr>
          <w:sz w:val="22"/>
        </w:rPr>
        <w:t xml:space="preserve"> module, considerations that lead to the design, and related important nomenclature. It is not a tutorial for using the </w:t>
      </w:r>
      <w:r w:rsidRPr="006F4647">
        <w:rPr>
          <w:rStyle w:val="PlainTextChar"/>
          <w:sz w:val="22"/>
        </w:rPr>
        <w:t>iotbx.pdb</w:t>
      </w:r>
      <w:r w:rsidRPr="006F4647">
        <w:rPr>
          <w:sz w:val="22"/>
        </w:rPr>
        <w:t xml:space="preserve"> facilities. For this, refer to</w:t>
      </w:r>
      <w:r w:rsidRPr="006F4647">
        <w:rPr>
          <w:rStyle w:val="Hyperlink"/>
          <w:sz w:val="22"/>
        </w:rPr>
        <w:t xml:space="preserve"> </w:t>
      </w:r>
      <w:hyperlink r:id="rId12" w:history="1">
        <w:r w:rsidRPr="006F4647">
          <w:rPr>
            <w:rStyle w:val="Hyperlink"/>
            <w:sz w:val="22"/>
          </w:rPr>
          <w:t>http://cctbx.sourceforge.net/sbgrid2008/tutorial.html</w:t>
        </w:r>
      </w:hyperlink>
      <w:r w:rsidRPr="006F4647">
        <w:rPr>
          <w:sz w:val="22"/>
        </w:rPr>
        <w:t xml:space="preserve">. See also </w:t>
      </w:r>
      <w:hyperlink r:id="rId13" w:history="1">
        <w:r w:rsidRPr="006F4647">
          <w:rPr>
            <w:rStyle w:val="Hyperlink"/>
            <w:sz w:val="22"/>
          </w:rPr>
          <w:t>http://cci.lbl.gov/hybrid_36/</w:t>
        </w:r>
      </w:hyperlink>
      <w:r w:rsidRPr="006F4647">
        <w:rPr>
          <w:sz w:val="22"/>
        </w:rPr>
        <w:t xml:space="preserve"> which describes </w:t>
      </w:r>
      <w:r w:rsidRPr="006F4647">
        <w:rPr>
          <w:rStyle w:val="PlainTextChar"/>
          <w:sz w:val="22"/>
        </w:rPr>
        <w:t>iotbx.pdb</w:t>
      </w:r>
      <w:r w:rsidRPr="006F4647">
        <w:rPr>
          <w:sz w:val="22"/>
        </w:rPr>
        <w:t xml:space="preserve"> facilities for handling very large models.</w:t>
      </w:r>
    </w:p>
    <w:p w:rsidR="0020088B" w:rsidRPr="00070C8A" w:rsidRDefault="0020088B" w:rsidP="0020088B">
      <w:pPr>
        <w:pStyle w:val="Heading2"/>
        <w:jc w:val="both"/>
      </w:pPr>
      <w:r w:rsidRPr="00070C8A">
        <w:t>Real-world PDB files</w:t>
      </w:r>
    </w:p>
    <w:p w:rsidR="0020088B" w:rsidRPr="006F4647" w:rsidRDefault="0020088B" w:rsidP="0020088B">
      <w:pPr>
        <w:jc w:val="both"/>
        <w:rPr>
          <w:sz w:val="22"/>
        </w:rPr>
      </w:pPr>
      <w:r w:rsidRPr="006F4647">
        <w:rPr>
          <w:sz w:val="22"/>
        </w:rPr>
        <w:t xml:space="preserve">The simplicity of the PDB format is only superficial and, in the general case, stops after the initial parsing level. The structure of the PDB file implies a </w:t>
      </w:r>
      <w:r w:rsidRPr="006F4647">
        <w:rPr>
          <w:i/>
          <w:sz w:val="22"/>
        </w:rPr>
        <w:t xml:space="preserve">hierarchy </w:t>
      </w:r>
      <w:r w:rsidRPr="006F4647">
        <w:rPr>
          <w:sz w:val="22"/>
        </w:rPr>
        <w:t>of objects. A first approximation is this hierarchical view is:</w:t>
      </w:r>
    </w:p>
    <w:p w:rsidR="0020088B" w:rsidRPr="00070C8A" w:rsidRDefault="0020088B" w:rsidP="0020088B">
      <w:pPr>
        <w:pStyle w:val="PlainText"/>
      </w:pPr>
      <w:r w:rsidRPr="00070C8A">
        <w:t xml:space="preserve">  </w:t>
      </w:r>
      <w:proofErr w:type="gramStart"/>
      <w:r w:rsidRPr="00070C8A">
        <w:t>model</w:t>
      </w:r>
      <w:proofErr w:type="gramEnd"/>
    </w:p>
    <w:p w:rsidR="0020088B" w:rsidRPr="00070C8A" w:rsidRDefault="0020088B" w:rsidP="0020088B">
      <w:pPr>
        <w:pStyle w:val="PlainText"/>
      </w:pPr>
      <w:r w:rsidRPr="00070C8A">
        <w:t xml:space="preserve">    </w:t>
      </w:r>
      <w:proofErr w:type="gramStart"/>
      <w:r w:rsidRPr="00070C8A">
        <w:t>chain</w:t>
      </w:r>
      <w:proofErr w:type="gramEnd"/>
    </w:p>
    <w:p w:rsidR="0020088B" w:rsidRPr="00070C8A" w:rsidRDefault="0020088B" w:rsidP="0020088B">
      <w:pPr>
        <w:pStyle w:val="PlainText"/>
      </w:pPr>
      <w:r w:rsidRPr="00070C8A">
        <w:t xml:space="preserve">      </w:t>
      </w:r>
      <w:proofErr w:type="gramStart"/>
      <w:r w:rsidRPr="00070C8A">
        <w:t>residue</w:t>
      </w:r>
      <w:proofErr w:type="gramEnd"/>
    </w:p>
    <w:p w:rsidR="0020088B" w:rsidRDefault="0020088B" w:rsidP="0020088B">
      <w:pPr>
        <w:pStyle w:val="PlainText"/>
      </w:pPr>
      <w:r w:rsidRPr="00070C8A">
        <w:t xml:space="preserve">        </w:t>
      </w:r>
      <w:proofErr w:type="gramStart"/>
      <w:r w:rsidRPr="00070C8A">
        <w:t>atom</w:t>
      </w:r>
      <w:proofErr w:type="gramEnd"/>
    </w:p>
    <w:p w:rsidR="0020088B" w:rsidRPr="00070C8A" w:rsidRDefault="0020088B" w:rsidP="0020088B">
      <w:pPr>
        <w:pStyle w:val="PlainText"/>
      </w:pPr>
    </w:p>
    <w:p w:rsidR="0020088B" w:rsidRPr="006F4647" w:rsidRDefault="0020088B" w:rsidP="0020088B">
      <w:pPr>
        <w:jc w:val="both"/>
        <w:rPr>
          <w:sz w:val="22"/>
        </w:rPr>
      </w:pPr>
      <w:r w:rsidRPr="006F4647">
        <w:rPr>
          <w:sz w:val="22"/>
        </w:rPr>
        <w:t>This is only an approximation because of a feature that is easily overlooked at first: the "</w:t>
      </w:r>
      <w:proofErr w:type="spellStart"/>
      <w:r w:rsidRPr="006F4647">
        <w:rPr>
          <w:rStyle w:val="PlainTextChar"/>
          <w:sz w:val="22"/>
        </w:rPr>
        <w:t>altloc</w:t>
      </w:r>
      <w:proofErr w:type="spellEnd"/>
      <w:r w:rsidRPr="006F4647">
        <w:rPr>
          <w:sz w:val="22"/>
        </w:rPr>
        <w:t xml:space="preserve">" (official PDB nomenclature) column 17 of PDB ATOM records, specifying "alternative location" identifiers for atoms in alternative conformations. As it turned out, about 90% of the development time invested into </w:t>
      </w:r>
      <w:r w:rsidRPr="006F4647">
        <w:rPr>
          <w:rStyle w:val="PlainTextChar"/>
          <w:sz w:val="22"/>
        </w:rPr>
        <w:t>iotbx.pdb</w:t>
      </w:r>
      <w:r w:rsidRPr="006F4647">
        <w:rPr>
          <w:sz w:val="22"/>
        </w:rPr>
        <w:t xml:space="preserve"> was in some form related to alternative conformations. Our goal was to provide robust tools that work even for the most unusual (but valid) cases, since this is a vital characteristic of any automated system. The main difficulties encountered while pursuing this goal were:</w:t>
      </w:r>
    </w:p>
    <w:p w:rsidR="0020088B" w:rsidRPr="00293457" w:rsidRDefault="0020088B" w:rsidP="0020088B">
      <w:pPr>
        <w:pStyle w:val="ListParagraph"/>
        <w:numPr>
          <w:ilvl w:val="0"/>
          <w:numId w:val="22"/>
        </w:numPr>
        <w:rPr>
          <w:sz w:val="22"/>
        </w:rPr>
      </w:pPr>
      <w:r w:rsidRPr="00293457">
        <w:rPr>
          <w:sz w:val="22"/>
        </w:rPr>
        <w:t>Chains with conformers that have different sequences</w:t>
      </w:r>
    </w:p>
    <w:p w:rsidR="0020088B" w:rsidRPr="00293457" w:rsidRDefault="0020088B" w:rsidP="0020088B">
      <w:pPr>
        <w:pStyle w:val="ListParagraph"/>
        <w:numPr>
          <w:ilvl w:val="0"/>
          <w:numId w:val="22"/>
        </w:numPr>
        <w:rPr>
          <w:sz w:val="22"/>
        </w:rPr>
      </w:pPr>
      <w:r w:rsidRPr="00293457">
        <w:rPr>
          <w:sz w:val="22"/>
        </w:rPr>
        <w:t xml:space="preserve">Chains with duplicate </w:t>
      </w:r>
      <w:proofErr w:type="spellStart"/>
      <w:r w:rsidRPr="00293457">
        <w:rPr>
          <w:rStyle w:val="PlainTextChar"/>
          <w:sz w:val="22"/>
        </w:rPr>
        <w:t>resseq</w:t>
      </w:r>
      <w:r w:rsidRPr="00293457">
        <w:rPr>
          <w:sz w:val="22"/>
        </w:rPr>
        <w:t>+</w:t>
      </w:r>
      <w:r w:rsidRPr="00293457">
        <w:rPr>
          <w:rStyle w:val="PlainTextChar"/>
          <w:sz w:val="22"/>
        </w:rPr>
        <w:t>icode</w:t>
      </w:r>
      <w:proofErr w:type="spellEnd"/>
      <w:r w:rsidRPr="00293457">
        <w:rPr>
          <w:sz w:val="22"/>
        </w:rPr>
        <w:t xml:space="preserve"> (residue sequence number + insertion code)</w:t>
      </w:r>
    </w:p>
    <w:p w:rsidR="0020088B" w:rsidRPr="007C168A" w:rsidRDefault="0020088B" w:rsidP="0020088B">
      <w:pPr>
        <w:pStyle w:val="ListParagraph"/>
        <w:numPr>
          <w:ilvl w:val="0"/>
          <w:numId w:val="22"/>
        </w:numPr>
        <w:rPr>
          <w:sz w:val="22"/>
        </w:rPr>
      </w:pPr>
      <w:r w:rsidRPr="00293457">
        <w:rPr>
          <w:sz w:val="22"/>
        </w:rPr>
        <w:t>Conformers interleaved or separated</w:t>
      </w:r>
    </w:p>
    <w:sectPr w:rsidR="0020088B" w:rsidRPr="007C168A" w:rsidSect="0020088B">
      <w:pgSz w:w="12240" w:h="15840"/>
      <w:pgMar w:top="1440" w:right="1079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03C5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1767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F3C2C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84A3B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55E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86EB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7F4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44D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70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AC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1AEB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FA445B"/>
    <w:multiLevelType w:val="hybridMultilevel"/>
    <w:tmpl w:val="541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61BFA"/>
    <w:multiLevelType w:val="hybridMultilevel"/>
    <w:tmpl w:val="F12850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E8641B9"/>
    <w:multiLevelType w:val="hybridMultilevel"/>
    <w:tmpl w:val="3BD6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5528E"/>
    <w:multiLevelType w:val="hybridMultilevel"/>
    <w:tmpl w:val="229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A40E2"/>
    <w:multiLevelType w:val="multilevel"/>
    <w:tmpl w:val="F7E4953C"/>
    <w:numStyleLink w:val="111111"/>
  </w:abstractNum>
  <w:abstractNum w:abstractNumId="16">
    <w:nsid w:val="237D2852"/>
    <w:multiLevelType w:val="hybridMultilevel"/>
    <w:tmpl w:val="F5E2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03FCA">
      <w:start w:val="14"/>
      <w:numFmt w:val="bullet"/>
      <w:lvlText w:val="-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C0536"/>
    <w:multiLevelType w:val="hybridMultilevel"/>
    <w:tmpl w:val="3EDC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C1257"/>
    <w:multiLevelType w:val="hybridMultilevel"/>
    <w:tmpl w:val="8384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C6465"/>
    <w:multiLevelType w:val="hybridMultilevel"/>
    <w:tmpl w:val="6250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B12F4"/>
    <w:multiLevelType w:val="hybridMultilevel"/>
    <w:tmpl w:val="6ABAD33A"/>
    <w:lvl w:ilvl="0" w:tplc="7BCA628E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4EB65CED"/>
    <w:multiLevelType w:val="multilevel"/>
    <w:tmpl w:val="F7E4953C"/>
    <w:styleLink w:val="11111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BF5023E"/>
    <w:multiLevelType w:val="hybridMultilevel"/>
    <w:tmpl w:val="B9E0485A"/>
    <w:lvl w:ilvl="0" w:tplc="C1EE3AB0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>
    <w:nsid w:val="61554BA3"/>
    <w:multiLevelType w:val="hybridMultilevel"/>
    <w:tmpl w:val="C038BA76"/>
    <w:lvl w:ilvl="0" w:tplc="827E7B82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>
    <w:nsid w:val="62470071"/>
    <w:multiLevelType w:val="hybridMultilevel"/>
    <w:tmpl w:val="40AC7122"/>
    <w:lvl w:ilvl="0" w:tplc="80A474A4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62C27B73"/>
    <w:multiLevelType w:val="hybridMultilevel"/>
    <w:tmpl w:val="805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44264"/>
    <w:multiLevelType w:val="hybridMultilevel"/>
    <w:tmpl w:val="8C76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40638"/>
    <w:multiLevelType w:val="hybridMultilevel"/>
    <w:tmpl w:val="84BE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62054"/>
    <w:multiLevelType w:val="hybridMultilevel"/>
    <w:tmpl w:val="FC90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95BAE"/>
    <w:multiLevelType w:val="hybridMultilevel"/>
    <w:tmpl w:val="F976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E9"/>
    <w:multiLevelType w:val="hybridMultilevel"/>
    <w:tmpl w:val="E0FCB4CC"/>
    <w:lvl w:ilvl="0" w:tplc="0B30ABC2">
      <w:numFmt w:val="bullet"/>
      <w:lvlText w:val="-"/>
      <w:lvlJc w:val="left"/>
      <w:pPr>
        <w:ind w:left="4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>
    <w:nsid w:val="7B681D07"/>
    <w:multiLevelType w:val="hybridMultilevel"/>
    <w:tmpl w:val="7DF6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0"/>
  </w:num>
  <w:num w:numId="16">
    <w:abstractNumId w:val="31"/>
  </w:num>
  <w:num w:numId="17">
    <w:abstractNumId w:val="23"/>
  </w:num>
  <w:num w:numId="18">
    <w:abstractNumId w:val="19"/>
  </w:num>
  <w:num w:numId="19">
    <w:abstractNumId w:val="30"/>
  </w:num>
  <w:num w:numId="20">
    <w:abstractNumId w:val="28"/>
  </w:num>
  <w:num w:numId="21">
    <w:abstractNumId w:val="24"/>
  </w:num>
  <w:num w:numId="22">
    <w:abstractNumId w:val="17"/>
  </w:num>
  <w:num w:numId="23">
    <w:abstractNumId w:val="16"/>
  </w:num>
  <w:num w:numId="24">
    <w:abstractNumId w:val="14"/>
  </w:num>
  <w:num w:numId="25">
    <w:abstractNumId w:val="27"/>
  </w:num>
  <w:num w:numId="26">
    <w:abstractNumId w:val="25"/>
  </w:num>
  <w:num w:numId="27">
    <w:abstractNumId w:val="26"/>
  </w:num>
  <w:num w:numId="28">
    <w:abstractNumId w:val="18"/>
  </w:num>
  <w:num w:numId="29">
    <w:abstractNumId w:val="13"/>
  </w:num>
  <w:num w:numId="30">
    <w:abstractNumId w:val="12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D0"/>
    <w:rsid w:val="0020088B"/>
    <w:rsid w:val="00FD05E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Plain Text" w:uiPriority="99"/>
  </w:latentStyles>
  <w:style w:type="paragraph" w:default="1" w:styleId="Normal">
    <w:name w:val="Normal"/>
    <w:qFormat/>
    <w:rsid w:val="00244635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8A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070C8A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103E4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A11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A11"/>
    <w:rPr>
      <w:rFonts w:ascii="Courier" w:hAnsi="Courier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70C8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FootnoteText">
    <w:name w:val="footnote text"/>
    <w:basedOn w:val="Normal"/>
    <w:link w:val="FootnoteTextChar"/>
    <w:rsid w:val="00070C8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70C8A"/>
  </w:style>
  <w:style w:type="character" w:styleId="FootnoteReference">
    <w:name w:val="footnote reference"/>
    <w:basedOn w:val="DefaultParagraphFont"/>
    <w:rsid w:val="00070C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70C8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103E4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basedOn w:val="DefaultParagraphFont"/>
    <w:rsid w:val="00733024"/>
    <w:rPr>
      <w:color w:val="0000FF"/>
      <w:u w:val="single"/>
    </w:rPr>
  </w:style>
  <w:style w:type="character" w:styleId="FollowedHyperlink">
    <w:name w:val="FollowedHyperlink"/>
    <w:basedOn w:val="DefaultParagraphFont"/>
    <w:rsid w:val="000D5B08"/>
    <w:rPr>
      <w:color w:val="800080"/>
      <w:u w:val="single"/>
    </w:rPr>
  </w:style>
  <w:style w:type="paragraph" w:styleId="ListParagraph">
    <w:name w:val="List Paragraph"/>
    <w:basedOn w:val="Normal"/>
    <w:rsid w:val="002B3574"/>
    <w:pPr>
      <w:ind w:left="720"/>
      <w:contextualSpacing/>
    </w:pPr>
  </w:style>
  <w:style w:type="numbering" w:styleId="111111">
    <w:name w:val="Outline List 2"/>
    <w:basedOn w:val="NoList"/>
    <w:rsid w:val="0003135F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Plain Text" w:uiPriority="99"/>
  </w:latentStyles>
  <w:style w:type="paragraph" w:default="1" w:styleId="Normal">
    <w:name w:val="Normal"/>
    <w:qFormat/>
    <w:rsid w:val="00244635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8A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070C8A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103E4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1A11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1A11"/>
    <w:rPr>
      <w:rFonts w:ascii="Courier" w:hAnsi="Courier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70C8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FootnoteText">
    <w:name w:val="footnote text"/>
    <w:basedOn w:val="Normal"/>
    <w:link w:val="FootnoteTextChar"/>
    <w:rsid w:val="00070C8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70C8A"/>
  </w:style>
  <w:style w:type="character" w:styleId="FootnoteReference">
    <w:name w:val="footnote reference"/>
    <w:basedOn w:val="DefaultParagraphFont"/>
    <w:rsid w:val="00070C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70C8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103E4"/>
    <w:rPr>
      <w:rFonts w:ascii="Calibri" w:eastAsia="Times New Roman" w:hAnsi="Calibri" w:cs="Times New Roman"/>
      <w:b/>
      <w:bCs/>
      <w:color w:val="4F81BD"/>
    </w:rPr>
  </w:style>
  <w:style w:type="character" w:styleId="Hyperlink">
    <w:name w:val="Hyperlink"/>
    <w:basedOn w:val="DefaultParagraphFont"/>
    <w:rsid w:val="00733024"/>
    <w:rPr>
      <w:color w:val="0000FF"/>
      <w:u w:val="single"/>
    </w:rPr>
  </w:style>
  <w:style w:type="character" w:styleId="FollowedHyperlink">
    <w:name w:val="FollowedHyperlink"/>
    <w:basedOn w:val="DefaultParagraphFont"/>
    <w:rsid w:val="000D5B08"/>
    <w:rPr>
      <w:color w:val="800080"/>
      <w:u w:val="single"/>
    </w:rPr>
  </w:style>
  <w:style w:type="paragraph" w:styleId="ListParagraph">
    <w:name w:val="List Paragraph"/>
    <w:basedOn w:val="Normal"/>
    <w:rsid w:val="002B3574"/>
    <w:pPr>
      <w:ind w:left="720"/>
      <w:contextualSpacing/>
    </w:pPr>
  </w:style>
  <w:style w:type="numbering" w:styleId="111111">
    <w:name w:val="Outline List 2"/>
    <w:basedOn w:val="NoList"/>
    <w:rsid w:val="0003135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1.bin"/><Relationship Id="rId12" Type="http://schemas.openxmlformats.org/officeDocument/2006/relationships/hyperlink" Target="http://cctbx.sourceforge.net/sbgrid2008/tutorial.html" TargetMode="External"/><Relationship Id="rId13" Type="http://schemas.openxmlformats.org/officeDocument/2006/relationships/hyperlink" Target="http://cci.lbl.gov/hybrid_36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WGrosse-Kunstleve@LBL.Gov" TargetMode="External"/><Relationship Id="rId7" Type="http://schemas.openxmlformats.org/officeDocument/2006/relationships/hyperlink" Target="http://www.pdb.org/" TargetMode="External"/><Relationship Id="rId8" Type="http://schemas.openxmlformats.org/officeDocument/2006/relationships/hyperlink" Target="http://cctbx.sourceforge.net/" TargetMode="External"/><Relationship Id="rId9" Type="http://schemas.openxmlformats.org/officeDocument/2006/relationships/hyperlink" Target="http://www.phenix-online.org/" TargetMode="Externa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2261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cctbx PDB handling tools</vt:lpstr>
      <vt:lpstr>    Introduction</vt:lpstr>
      <vt:lpstr>    Real-world PDB files</vt:lpstr>
    </vt:vector>
  </TitlesOfParts>
  <Company>Lawrence Berkeley National Laboratory </Company>
  <LinksUpToDate>false</LinksUpToDate>
  <CharactersWithSpaces>2652</CharactersWithSpaces>
  <SharedDoc>false</SharedDoc>
  <HLinks>
    <vt:vector size="36" baseType="variant">
      <vt:variant>
        <vt:i4>3801147</vt:i4>
      </vt:variant>
      <vt:variant>
        <vt:i4>18</vt:i4>
      </vt:variant>
      <vt:variant>
        <vt:i4>0</vt:i4>
      </vt:variant>
      <vt:variant>
        <vt:i4>5</vt:i4>
      </vt:variant>
      <vt:variant>
        <vt:lpwstr>http://cci.lbl.gov/hybrid_36/</vt:lpwstr>
      </vt:variant>
      <vt:variant>
        <vt:lpwstr/>
      </vt:variant>
      <vt:variant>
        <vt:i4>107</vt:i4>
      </vt:variant>
      <vt:variant>
        <vt:i4>15</vt:i4>
      </vt:variant>
      <vt:variant>
        <vt:i4>0</vt:i4>
      </vt:variant>
      <vt:variant>
        <vt:i4>5</vt:i4>
      </vt:variant>
      <vt:variant>
        <vt:lpwstr>http://cctbx.sourceforge.net/sbgrid2008/tutorial.html</vt:lpwstr>
      </vt:variant>
      <vt:variant>
        <vt:lpwstr/>
      </vt:variant>
      <vt:variant>
        <vt:i4>1048624</vt:i4>
      </vt:variant>
      <vt:variant>
        <vt:i4>9</vt:i4>
      </vt:variant>
      <vt:variant>
        <vt:i4>0</vt:i4>
      </vt:variant>
      <vt:variant>
        <vt:i4>5</vt:i4>
      </vt:variant>
      <vt:variant>
        <vt:lpwstr>http://www.phenix-online.org/</vt:lpwstr>
      </vt:variant>
      <vt:variant>
        <vt:lpwstr/>
      </vt:variant>
      <vt:variant>
        <vt:i4>4849714</vt:i4>
      </vt:variant>
      <vt:variant>
        <vt:i4>6</vt:i4>
      </vt:variant>
      <vt:variant>
        <vt:i4>0</vt:i4>
      </vt:variant>
      <vt:variant>
        <vt:i4>5</vt:i4>
      </vt:variant>
      <vt:variant>
        <vt:lpwstr>http://cctbx.sourceforge.net/</vt:lpwstr>
      </vt:variant>
      <vt:variant>
        <vt:lpwstr/>
      </vt:variant>
      <vt:variant>
        <vt:i4>3211335</vt:i4>
      </vt:variant>
      <vt:variant>
        <vt:i4>3</vt:i4>
      </vt:variant>
      <vt:variant>
        <vt:i4>0</vt:i4>
      </vt:variant>
      <vt:variant>
        <vt:i4>5</vt:i4>
      </vt:variant>
      <vt:variant>
        <vt:lpwstr>http://www.pdb.org/</vt:lpwstr>
      </vt:variant>
      <vt:variant>
        <vt:lpwstr/>
      </vt:variant>
      <vt:variant>
        <vt:i4>3735609</vt:i4>
      </vt:variant>
      <vt:variant>
        <vt:i4>0</vt:i4>
      </vt:variant>
      <vt:variant>
        <vt:i4>0</vt:i4>
      </vt:variant>
      <vt:variant>
        <vt:i4>5</vt:i4>
      </vt:variant>
      <vt:variant>
        <vt:lpwstr>mailto:RWGrosse-Kunstleve@LBL.Gov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Moriarty</dc:creator>
  <cp:keywords/>
  <cp:lastModifiedBy>Nigel Moriarty</cp:lastModifiedBy>
  <cp:revision>2</cp:revision>
  <cp:lastPrinted>2010-06-21T22:28:00Z</cp:lastPrinted>
  <dcterms:created xsi:type="dcterms:W3CDTF">2021-07-21T21:56:00Z</dcterms:created>
  <dcterms:modified xsi:type="dcterms:W3CDTF">2021-07-21T21:56:00Z</dcterms:modified>
</cp:coreProperties>
</file>